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Default Extension="fntdata" ContentType="application/x-fontdata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val="clear" w:color="auto" w:fill="35394F"/>
            <w:tcMar>
              <w:top w:w="240" w:type="dxa"/>
              <w:left w:w="0" w:type="dxa"/>
              <w:bottom w:w="240" w:type="dxa"/>
              <w:right w:w="0" w:type="dxa"/>
            </w:tcMar>
          </w:tcPr>
          <w:p>
            <w:pPr>
              <w:spacing w:before="0" w:after="0" w:line="240" w:lineRule="auto"/>
              <w:ind w:left="260" w:right="260"/>
              <w:jc w:val="right"/>
            </w:pPr>
            <w:hyperlink r:id="rId10">
              <w:r>
                <w:drawing>
                  <wp:inline xmlns:a="http://schemas.openxmlformats.org/drawingml/2006/main" xmlns:pic="http://schemas.openxmlformats.org/drawingml/2006/picture">
                    <wp:extent cx="720000" cy="391800"/>
                    <wp:docPr id="1" name="Picture 1" descr="ETHYX — ethyx.eu" title="ETHYX — ethyx.eu"/>
                    <wp:cNvGraphicFramePr>
                      <a:graphicFrameLocks noChangeAspect="1"/>
                    </wp:cNvGraphicFramePr>
                    <a:graphic>
                      <a:graphicData uri="http://schemas.openxmlformats.org/drawingml/2006/picture">
                        <pic:pic>
                          <pic:nvPicPr>
                            <pic:cNvPr id="0" name="logo-lockup.png"/>
                            <pic:cNvPicPr/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20000" cy="391800"/>
                            </a:xfrm>
                            <a:prstGeom prst="rect"/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  <w:p>
            <w:pPr>
              <w:spacing w:before="0" w:after="0" w:line="240" w:lineRule="exact"/>
              <w:ind w:left="260" w:right="260"/>
            </w:pPr>
          </w:p>
          <w:p>
            <w:pPr>
              <w:spacing w:before="0" w:after="0" w:line="252" w:lineRule="auto"/>
              <w:ind w:left="260" w:right="260"/>
            </w:pPr>
            <w:r>
              <w:rPr>
                <w:rFonts w:ascii="Funnel Display" w:hAnsi="Funnel Display" w:cs="Funnel Display" w:eastAsia="Funnel Display"/>
                <w:b/>
                <w:i w:val="0"/>
                <w:color w:val="FFFFFF"/>
                <w:sz w:val="44"/>
              </w:rPr>
              <w:t>EU-KI-Gesetz Readiness-Fahrplan</w:t>
            </w:r>
          </w:p>
          <w:p>
            <w:pPr>
              <w:spacing w:before="100" w:after="0" w:line="276" w:lineRule="auto"/>
              <w:ind w:left="260" w:right="260"/>
            </w:pPr>
            <w:r>
              <w:rPr>
                <w:rFonts w:ascii="Inter" w:hAnsi="Inter" w:cs="Inter" w:eastAsia="Inter"/>
                <w:b w:val="0"/>
                <w:i w:val="0"/>
                <w:color w:val="FFFFFF"/>
                <w:sz w:val="21"/>
              </w:rPr>
              <w:t>Ein Phasen-Aktionsplan zur Erreichung der EU-KI-Gesetz-Konformität · Für KMU-Betreiber · DE</w:t>
            </w:r>
          </w:p>
          <w:p>
            <w:pPr>
              <w:spacing w:before="140" w:after="0" w:line="288" w:lineRule="auto"/>
              <w:ind w:left="260" w:right="260"/>
            </w:pPr>
            <w:r>
              <w:rPr>
                <w:rFonts w:ascii="Inter" w:hAnsi="Inter" w:cs="Inter" w:eastAsia="Inter"/>
                <w:b w:val="0"/>
                <w:i w:val="0"/>
                <w:color w:val="E5E7EB"/>
                <w:sz w:val="15"/>
              </w:rPr>
              <w:t>Rechtlich geprüft von einem zertifizierten Datenschutzbeauftragten (CIPP/E) · Bereitgestellt von ETHYX · Version 1.1 · Juli 2026</w:t>
            </w:r>
          </w:p>
        </w:tc>
      </w:tr>
    </w:tbl>
    <w:p>
      <w:pPr>
        <w:shd w:val="clear" w:color="auto" w:fill="E34663"/>
        <w:spacing w:before="0" w:after="200" w:line="60" w:lineRule="exact"/>
      </w:pPr>
    </w:p>
    <w:p>
      <w:pPr>
        <w:spacing w:before="0" w:after="0" w:line="120" w:lineRule="exact"/>
      </w:pP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45"/>
        <w:gridCol w:w="9819"/>
      </w:tblGrid>
      <w:tr>
        <w:trPr>
          <w:cantSplit w:val="1"/>
        </w:trPr>
        <w:tc>
          <w:tcPr>
            <w:tcW w:type="dxa" w:w="45"/>
            <w:shd w:val="clear" w:color="auto" w:fill="E34663"/>
            <w:tcMar>
              <w:top w:w="130" w:type="dxa"/>
              <w:left w:w="0" w:type="dxa"/>
              <w:bottom w:w="130" w:type="dxa"/>
              <w:right w:w="0" w:type="dxa"/>
            </w:tcMar>
          </w:tcPr>
          <w:p/>
        </w:tc>
        <w:tc>
          <w:tcPr>
            <w:tcW w:type="dxa" w:w="9819"/>
            <w:shd w:val="clear" w:color="auto" w:fill="FEF6F7"/>
            <w:tcMar>
              <w:top w:w="130" w:type="dxa"/>
              <w:left w:w="0" w:type="dxa"/>
              <w:bottom w:w="130" w:type="dxa"/>
              <w:right w:w="0" w:type="dxa"/>
            </w:tcMar>
          </w:tcPr>
          <w:p>
            <w:pPr>
              <w:spacing w:before="0" w:after="0" w:line="312" w:lineRule="auto"/>
              <w:ind w:left="215" w:right="260"/>
            </w:pPr>
            <w:r>
              <w:rPr>
                <w:rFonts w:ascii="Funnel Display" w:hAnsi="Funnel Display" w:cs="Funnel Display" w:eastAsia="Funnel Display"/>
                <w:b/>
                <w:i w:val="0"/>
                <w:color w:val="E34663"/>
                <w:spacing w:val="8"/>
                <w:sz w:val="16"/>
              </w:rPr>
              <w:t xml:space="preserve">» ANLEITUNG  </w:t>
            </w:r>
            <w:r>
              <w:rPr>
                <w:rFonts w:ascii="Inter" w:hAnsi="Inter" w:cs="Inter" w:eastAsia="Inter"/>
                <w:b w:val="0"/>
                <w:i w:val="0"/>
                <w:color w:val="35394F"/>
                <w:sz w:val="16"/>
              </w:rPr>
              <w:t>Dieser Fahrplan gliedert Ihren Weg zur EU-KI-Gesetz-Readiness in fünf Phasen. Arbeiten Sie sie der Reihe nach ab – jede Phase baut auf der vorherigen auf. Die Aktionstabellen listen konkrete Schritte; haken Sie jeden nach Abschluss ab und weisen Sie einen Verantwortlichen zu. Die Phasen verweisen auf die ETHYX-Begleitvorlagen (KI-System-Inventar, KI-Risikoklassifizierungs-Checkliste, Betreiber-Dokumentationspaket, KI-Kompetenz-Schulungsvorlage). Löschen Sie diesen Kasten vor Fertigstellung.</w:t>
            </w:r>
          </w:p>
        </w:tc>
      </w:tr>
    </w:tbl>
    <w:p>
      <w:pPr>
        <w:spacing w:before="0" w:after="0" w:line="120" w:lineRule="exact"/>
      </w:pPr>
    </w:p>
    <w:p>
      <w:pPr>
        <w:keepNext w:val="1"/>
        <w:keepLines w:val="1"/>
        <w:pBdr>
          <w:top w:val="single" w:sz="4" w:space="0" w:color="E5E7EB"/>
        </w:pBdr>
        <w:spacing w:before="200" w:after="0" w:line="20" w:lineRule="exact"/>
      </w:pPr>
    </w:p>
    <w:p>
      <w:pPr>
        <w:keepNext w:val="1"/>
        <w:keepLines w:val="1"/>
        <w:spacing w:before="160" w:after="10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6"/>
        </w:rPr>
        <w:t>Wo das EU-KI-Gesetz heute steht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Das EU-KI-Gesetz (Verordnung 2024/1689) ist 2024 in Kraft getreten und gilt schrittweise. Regeln zu verbotenen Praktiken und KI-Kompetenzpflichten (Art. 4) gelten bereits. Pflichten für KI mit allgemeinem Verwendungszweck und die meisten Betreiberpflichten greifen schrittweise bis 2028: Nach dem Digital Omnibus (beschlossen Juni 2026) gelten die Hochrisiko-Pflichten nach Anhang III, einschließlich der Betreiberpflichten aus Art. 26/27, ab dem 2. Dezember 2027, Anhang I ab dem 2. August 2028; Art. 4 AI Literacy und Art. 50 Transparenz behalten ihre ursprünglichen Termine. Die Richtung ist klar: Wenn Ihr Unternehmen KI nutzt, haben Sie heute Pflichten und weitere kommen hinzu – früh Readiness aufzubauen ist günstiger als unter Druck nachzurüsten.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Dieser Fahrplan konzentriert sich auf Ihre Rolle als Betreiber (ein Unternehmen, das KI-Systeme nutzt), nicht als Anbieter (eines, das KI-Systeme entwickelt und in Verkehr bringt). Die meisten KMU sind Betreiber.</w:t>
      </w:r>
    </w:p>
    <w:p>
      <w:pPr>
        <w:keepNext w:val="1"/>
        <w:keepLines w:val="1"/>
        <w:pBdr>
          <w:top w:val="single" w:sz="4" w:space="0" w:color="E5E7EB"/>
        </w:pBdr>
        <w:spacing w:before="200" w:after="0" w:line="20" w:lineRule="exact"/>
      </w:pPr>
    </w:p>
    <w:p>
      <w:pPr>
        <w:keepNext w:val="1"/>
        <w:keepLines w:val="1"/>
        <w:spacing w:before="160" w:after="10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6"/>
        </w:rPr>
        <w:t>Die fünf Phasen im Überblick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3551"/>
        <w:gridCol w:w="6313"/>
      </w:tblGrid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Phase 1 – Erfassen</w:t>
            </w:r>
          </w:p>
        </w:tc>
        <w:tc>
          <w:tcPr>
            <w:tcW w:type="dxa" w:w="6313"/>
            <w:tcBorders>
              <w:bottom w:val="single" w:sz="2" w:space="0" w:color="E5E7EB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>Vollständiges Inventar aller eingesetzten KI-Systeme erstellen, inkl. Shadow-KI.</w:t>
            </w:r>
          </w:p>
        </w:tc>
      </w:tr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Phase 2 – Klassifizieren</w:t>
            </w:r>
          </w:p>
        </w:tc>
        <w:tc>
          <w:tcPr>
            <w:tcW w:type="dxa" w:w="6313"/>
            <w:tcBorders>
              <w:bottom w:val="single" w:sz="2" w:space="0" w:color="E5E7EB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>Risikostufe jedes Systems bestimmen (verboten / hoch / begrenzt / minimal).</w:t>
            </w:r>
          </w:p>
        </w:tc>
      </w:tr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Phase 3 – Dokumentieren</w:t>
            </w:r>
          </w:p>
        </w:tc>
        <w:tc>
          <w:tcPr>
            <w:tcW w:type="dxa" w:w="6313"/>
            <w:tcBorders>
              <w:bottom w:val="single" w:sz="2" w:space="0" w:color="E5E7EB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>Betreiberdokumentation für Hochrisiko- und Begrenzt-Risiko-Systeme erstellen.</w:t>
            </w:r>
          </w:p>
        </w:tc>
      </w:tr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Phase 4 – Schulen &amp; steuern</w:t>
            </w:r>
          </w:p>
        </w:tc>
        <w:tc>
          <w:tcPr>
            <w:tcW w:type="dxa" w:w="6313"/>
            <w:tcBorders>
              <w:bottom w:val="single" w:sz="2" w:space="0" w:color="E5E7EB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>KI-Kompetenz-Schulung durchführen und Nutzungsrichtlinie einführen.</w:t>
            </w:r>
          </w:p>
        </w:tc>
      </w:tr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Phase 5 – Überwachen &amp; pflegen</w:t>
            </w:r>
          </w:p>
        </w:tc>
        <w:tc>
          <w:tcPr>
            <w:tcW w:type="dxa" w:w="6313"/>
            <w:tcBorders>
              <w:bottom w:val="single" w:sz="2" w:space="0" w:color="E5E7EB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>Regelmäßig überprüfen, Betrieb protokollieren, Dokumentation aktuell halten.</w:t>
            </w:r>
          </w:p>
        </w:tc>
      </w:tr>
    </w:tbl>
    <w:p>
      <w:pPr>
        <w:spacing w:before="0" w:after="0" w:line="160" w:lineRule="exact"/>
      </w:pPr>
    </w:p>
    <w:p>
      <w:pPr>
        <w:keepNext w:val="1"/>
        <w:keepLines w:val="1"/>
        <w:shd w:val="clear" w:color="auto" w:fill="35394F"/>
        <w:spacing w:before="110" w:after="110" w:line="240" w:lineRule="auto"/>
        <w:ind w:left="0" w:right="0" w:firstLine="260"/>
      </w:pPr>
      <w:r>
        <w:rPr>
          <w:rFonts w:ascii="Funnel Display" w:hAnsi="Funnel Display" w:cs="Funnel Display" w:eastAsia="Funnel Display"/>
          <w:b/>
          <w:i w:val="0"/>
          <w:color w:val="FFFFFF"/>
          <w:sz w:val="23"/>
        </w:rPr>
        <w:t>PHASE 1 – Erfassen: KI-Inventar aufbauen</w:t>
      </w:r>
    </w:p>
    <w:p>
      <w:pPr>
        <w:keepNext w:val="1"/>
        <w:keepLines w:val="1"/>
        <w:spacing w:before="0" w:after="0" w:line="120" w:lineRule="exact"/>
      </w:pPr>
    </w:p>
    <w:p>
      <w:pPr>
        <w:keepNext w:val="1"/>
        <w:keepLines w:val="1"/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Sie können nicht steuern, was Sie nicht sehen. Die meisten Compliance-Lücken in KMU sind Shadow-KI – Tools, die Teams ohne zentrale Genehmigung eingeführt haben. Finden Sie zuerst alles.</w:t>
      </w:r>
    </w:p>
    <w:p>
      <w:pPr>
        <w:keepNext w:val="1"/>
        <w:keepLines w:val="1"/>
        <w:spacing w:before="40" w:after="160" w:line="300" w:lineRule="auto"/>
        <w:ind w:left="260" w:right="260"/>
      </w:pPr>
      <w:r>
        <w:rPr>
          <w:rFonts w:ascii="Inter" w:hAnsi="Inter" w:cs="Inter" w:eastAsia="Inter"/>
          <w:b/>
          <w:i w:val="0"/>
          <w:color w:val="E34663"/>
          <w:sz w:val="16"/>
        </w:rPr>
        <w:t>→ Verwenden Sie die ETHYX KI-System-Inventarvorlage.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6067"/>
        <w:gridCol w:w="1886"/>
        <w:gridCol w:w="1271"/>
        <w:gridCol w:w="640"/>
      </w:tblGrid>
      <w:tr>
        <w:trPr>
          <w:cantSplit w:val="1"/>
          <w:tblHeader w:val="1"/>
        </w:trPr>
        <w:tc>
          <w:tcPr>
            <w:tcW w:type="dxa" w:w="6067"/>
            <w:shd w:val="clear" w:color="auto" w:fill="35394F"/>
            <w:tcMar>
              <w:top w:w="70" w:type="dxa"/>
              <w:left w:w="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Aktion</w:t>
            </w:r>
          </w:p>
        </w:tc>
        <w:tc>
          <w:tcPr>
            <w:tcW w:type="dxa" w:w="1886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Verantwortlich</w:t>
            </w:r>
          </w:p>
        </w:tc>
        <w:tc>
          <w:tcPr>
            <w:tcW w:type="dxa" w:w="1271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Zieldatum</w:t>
            </w:r>
          </w:p>
        </w:tc>
        <w:tc>
          <w:tcPr>
            <w:tcW w:type="dxa" w:w="640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Erl.</w:t>
            </w:r>
          </w:p>
        </w:tc>
      </w:tr>
      <w:tr>
        <w:trPr>
          <w:cantSplit w:val="1"/>
        </w:trPr>
        <w:tc>
          <w:tcPr>
            <w:tcW w:type="dxa" w:w="6067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Einen KI-Koordinator benennen, der den Prozess verantwortet.</w:t>
            </w:r>
          </w:p>
        </w:tc>
        <w:tc>
          <w:tcPr>
            <w:tcW w:type="dxa" w:w="1886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71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40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67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Allen Abteilungsleitern eine E-Mail senden mit der Bitte, alle KI-Tools ihres Teams aufzulisten (inkl. kostenloser/Test-Tools und KI-Funktionen in bestehender Software).</w:t>
            </w:r>
          </w:p>
        </w:tc>
        <w:tc>
          <w:tcPr>
            <w:tcW w:type="dxa" w:w="1886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71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40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67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KI-Funktionen in Microsoft 365, Google Workspace, CRM, HR- und Finanztools prüfen.</w:t>
            </w:r>
          </w:p>
        </w:tc>
        <w:tc>
          <w:tcPr>
            <w:tcW w:type="dxa" w:w="1886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71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40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67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Jedes System im KI-System-Inventar erfassen – eine Zeile pro System.</w:t>
            </w:r>
          </w:p>
        </w:tc>
        <w:tc>
          <w:tcPr>
            <w:tcW w:type="dxa" w:w="1886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71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40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67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Jedes Shadow-KI-Tool zur IT-Prüfung markieren (genehmigen, ersetzen oder untersagen).</w:t>
            </w:r>
          </w:p>
        </w:tc>
        <w:tc>
          <w:tcPr>
            <w:tcW w:type="dxa" w:w="1886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71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40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</w:tbl>
    <w:p>
      <w:pPr>
        <w:spacing w:before="0" w:after="0" w:line="160" w:lineRule="exact"/>
      </w:pPr>
    </w:p>
    <w:p>
      <w:pPr>
        <w:keepNext w:val="1"/>
        <w:keepLines w:val="1"/>
        <w:shd w:val="clear" w:color="auto" w:fill="35394F"/>
        <w:spacing w:before="110" w:after="110" w:line="240" w:lineRule="auto"/>
        <w:ind w:left="0" w:right="0" w:firstLine="260"/>
      </w:pPr>
      <w:r>
        <w:rPr>
          <w:rFonts w:ascii="Funnel Display" w:hAnsi="Funnel Display" w:cs="Funnel Display" w:eastAsia="Funnel Display"/>
          <w:b/>
          <w:i w:val="0"/>
          <w:color w:val="FFFFFF"/>
          <w:sz w:val="23"/>
        </w:rPr>
        <w:t>PHASE 2 – Klassifizieren: Risikostufe jedes Systems bestimmen</w:t>
      </w:r>
    </w:p>
    <w:p>
      <w:pPr>
        <w:keepNext w:val="1"/>
        <w:keepLines w:val="1"/>
        <w:spacing w:before="0" w:after="0" w:line="120" w:lineRule="exact"/>
      </w:pPr>
    </w:p>
    <w:p>
      <w:pPr>
        <w:keepNext w:val="1"/>
        <w:keepLines w:val="1"/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Pflichten skalieren mit dem Risiko. Korrekte Klassifizierung zeigt, welche Systeme vollständige Dokumentation benötigen und welche nur leichte Handhabung.</w:t>
      </w:r>
    </w:p>
    <w:p>
      <w:pPr>
        <w:keepNext w:val="1"/>
        <w:keepLines w:val="1"/>
        <w:spacing w:before="40" w:after="160" w:line="300" w:lineRule="auto"/>
        <w:ind w:left="260" w:right="260"/>
      </w:pPr>
      <w:r>
        <w:rPr>
          <w:rFonts w:ascii="Inter" w:hAnsi="Inter" w:cs="Inter" w:eastAsia="Inter"/>
          <w:b/>
          <w:i w:val="0"/>
          <w:color w:val="E34663"/>
          <w:sz w:val="16"/>
        </w:rPr>
        <w:t>→ Verwenden Sie die ETHYX KI-Risikoklassifizierungs-Checkliste für jedes System.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6109"/>
        <w:gridCol w:w="1872"/>
        <w:gridCol w:w="1257"/>
        <w:gridCol w:w="627"/>
      </w:tblGrid>
      <w:tr>
        <w:trPr>
          <w:cantSplit w:val="1"/>
          <w:tblHeader w:val="1"/>
        </w:trPr>
        <w:tc>
          <w:tcPr>
            <w:tcW w:type="dxa" w:w="6109"/>
            <w:shd w:val="clear" w:color="auto" w:fill="35394F"/>
            <w:tcMar>
              <w:top w:w="70" w:type="dxa"/>
              <w:left w:w="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Aktion</w:t>
            </w:r>
          </w:p>
        </w:tc>
        <w:tc>
          <w:tcPr>
            <w:tcW w:type="dxa" w:w="1872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Verantwortlich</w:t>
            </w:r>
          </w:p>
        </w:tc>
        <w:tc>
          <w:tcPr>
            <w:tcW w:type="dxa" w:w="1257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Zieldatum</w:t>
            </w:r>
          </w:p>
        </w:tc>
        <w:tc>
          <w:tcPr>
            <w:tcW w:type="dxa" w:w="627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Erl.</w:t>
            </w:r>
          </w:p>
        </w:tc>
      </w:tr>
      <w:tr>
        <w:trPr>
          <w:cantSplit w:val="1"/>
        </w:trPr>
        <w:tc>
          <w:tcPr>
            <w:tcW w:type="dxa" w:w="610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Jedes inventarisierte System durch die KI-Risikoklassifizierungs-Checkliste laufen lassen (Schritte 1–5).</w:t>
            </w:r>
          </w:p>
        </w:tc>
        <w:tc>
          <w:tcPr>
            <w:tcW w:type="dxa" w:w="1872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57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27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10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Bestätigen, dass kein System unter verbotene Praktiken fällt (Art. 5). Falls doch, Nutzung einstellen und Rechtsberatung einholen.</w:t>
            </w:r>
          </w:p>
        </w:tc>
        <w:tc>
          <w:tcPr>
            <w:tcW w:type="dxa" w:w="1872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57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27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10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Hochrisikosysteme identifizieren (Anhang III) – z. B. KI in Einstellung, Kredit, wesentlichen Diensten.</w:t>
            </w:r>
          </w:p>
        </w:tc>
        <w:tc>
          <w:tcPr>
            <w:tcW w:type="dxa" w:w="1872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57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27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10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Begrenzt-Risiko-Systeme mit Art. 50-Transparenzpflichten identifizieren (Chatbots, synthetische Inhalte).</w:t>
            </w:r>
          </w:p>
        </w:tc>
        <w:tc>
          <w:tcPr>
            <w:tcW w:type="dxa" w:w="1872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57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27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10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Die Risikoeinstufung jedes Systems zurück in Ihr KI-System-Inventar eintragen.</w:t>
            </w:r>
          </w:p>
        </w:tc>
        <w:tc>
          <w:tcPr>
            <w:tcW w:type="dxa" w:w="1872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57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27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</w:tbl>
    <w:p>
      <w:pPr>
        <w:spacing w:before="0" w:after="0" w:line="160" w:lineRule="exact"/>
      </w:pPr>
    </w:p>
    <w:p>
      <w:pPr>
        <w:keepNext w:val="1"/>
        <w:keepLines w:val="1"/>
        <w:shd w:val="clear" w:color="auto" w:fill="35394F"/>
        <w:spacing w:before="110" w:after="110" w:line="240" w:lineRule="auto"/>
        <w:ind w:left="0" w:right="0" w:firstLine="260"/>
      </w:pPr>
      <w:r>
        <w:rPr>
          <w:rFonts w:ascii="Funnel Display" w:hAnsi="Funnel Display" w:cs="Funnel Display" w:eastAsia="Funnel Display"/>
          <w:b/>
          <w:i w:val="0"/>
          <w:color w:val="FFFFFF"/>
          <w:sz w:val="23"/>
        </w:rPr>
        <w:t>PHASE 3 – Dokumentieren: Betreiberdokumentation erstellen</w:t>
      </w:r>
    </w:p>
    <w:p>
      <w:pPr>
        <w:keepNext w:val="1"/>
        <w:keepLines w:val="1"/>
        <w:spacing w:before="0" w:after="0" w:line="120" w:lineRule="exact"/>
      </w:pPr>
    </w:p>
    <w:p>
      <w:pPr>
        <w:keepNext w:val="1"/>
        <w:keepLines w:val="1"/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Hochrisiko- und Begrenzt-Risiko-Systeme tragen konkrete Dokumentationspflichten gemäß Art. 26, 27 und 50. Dokumentieren Sie sie, solange die Analyse frisch ist.</w:t>
      </w:r>
    </w:p>
    <w:p>
      <w:pPr>
        <w:keepNext w:val="1"/>
        <w:keepLines w:val="1"/>
        <w:spacing w:before="40" w:after="160" w:line="300" w:lineRule="auto"/>
        <w:ind w:left="260" w:right="260"/>
      </w:pPr>
      <w:r>
        <w:rPr>
          <w:rFonts w:ascii="Inter" w:hAnsi="Inter" w:cs="Inter" w:eastAsia="Inter"/>
          <w:b/>
          <w:i w:val="0"/>
          <w:color w:val="E34663"/>
          <w:sz w:val="16"/>
        </w:rPr>
        <w:t>→ Verwenden Sie das ETHYX Betreiber-Dokumentationspaket.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6089"/>
        <w:gridCol w:w="1879"/>
        <w:gridCol w:w="1263"/>
        <w:gridCol w:w="633"/>
      </w:tblGrid>
      <w:tr>
        <w:trPr>
          <w:cantSplit w:val="1"/>
          <w:tblHeader w:val="1"/>
        </w:trPr>
        <w:tc>
          <w:tcPr>
            <w:tcW w:type="dxa" w:w="6089"/>
            <w:shd w:val="clear" w:color="auto" w:fill="35394F"/>
            <w:tcMar>
              <w:top w:w="70" w:type="dxa"/>
              <w:left w:w="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Aktion</w:t>
            </w:r>
          </w:p>
        </w:tc>
        <w:tc>
          <w:tcPr>
            <w:tcW w:type="dxa" w:w="1879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Verantwortlich</w:t>
            </w:r>
          </w:p>
        </w:tc>
        <w:tc>
          <w:tcPr>
            <w:tcW w:type="dxa" w:w="1263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Zieldatum</w:t>
            </w:r>
          </w:p>
        </w:tc>
        <w:tc>
          <w:tcPr>
            <w:tcW w:type="dxa" w:w="633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Erl.</w:t>
            </w:r>
          </w:p>
        </w:tc>
      </w:tr>
      <w:tr>
        <w:trPr>
          <w:cantSplit w:val="1"/>
        </w:trPr>
        <w:tc>
          <w:tcPr>
            <w:tcW w:type="dxa" w:w="608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Für jedes Hochrisikosystem Formular 2 ausfüllen (Art. 26 Betreiberpflichten).</w:t>
            </w:r>
          </w:p>
        </w:tc>
        <w:tc>
          <w:tcPr>
            <w:tcW w:type="dxa" w:w="187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8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Wo Art. 27 gilt, eine Grundrechte-Folgenabschätzung erstellen (Formular 3).</w:t>
            </w:r>
          </w:p>
        </w:tc>
        <w:tc>
          <w:tcPr>
            <w:tcW w:type="dxa" w:w="187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3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3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8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Für Systeme mit personenbezogenen Daten prüfen, ob auch eine DSGVO-DSFA (Art. 35) erforderlich ist.</w:t>
            </w:r>
          </w:p>
        </w:tc>
        <w:tc>
          <w:tcPr>
            <w:tcW w:type="dxa" w:w="187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8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Für jedes Begrenzt-Risiko-System Art. 50-Transparenz umsetzen und dokumentieren (Formular 5).</w:t>
            </w:r>
          </w:p>
        </w:tc>
        <w:tc>
          <w:tcPr>
            <w:tcW w:type="dxa" w:w="187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3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3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8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Sicherstellen, dass mit jedem KI-Drittanbieter ein Auftragsverarbeitungsvertrag (Art. 28 DSGVO) besteht.</w:t>
            </w:r>
          </w:p>
        </w:tc>
        <w:tc>
          <w:tcPr>
            <w:tcW w:type="dxa" w:w="187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</w:tbl>
    <w:p>
      <w:pPr>
        <w:spacing w:before="0" w:after="0" w:line="160" w:lineRule="exact"/>
      </w:pPr>
    </w:p>
    <w:p>
      <w:pPr>
        <w:keepNext w:val="1"/>
        <w:keepLines w:val="1"/>
        <w:shd w:val="clear" w:color="auto" w:fill="35394F"/>
        <w:spacing w:before="110" w:after="110" w:line="240" w:lineRule="auto"/>
        <w:ind w:left="0" w:right="0" w:firstLine="260"/>
      </w:pPr>
      <w:r>
        <w:rPr>
          <w:rFonts w:ascii="Funnel Display" w:hAnsi="Funnel Display" w:cs="Funnel Display" w:eastAsia="Funnel Display"/>
          <w:b/>
          <w:i w:val="0"/>
          <w:color w:val="FFFFFF"/>
          <w:sz w:val="23"/>
        </w:rPr>
        <w:t>PHASE 4 – Schulen &amp; steuern: Menschen und Richtlinie</w:t>
      </w:r>
    </w:p>
    <w:p>
      <w:pPr>
        <w:keepNext w:val="1"/>
        <w:keepLines w:val="1"/>
        <w:spacing w:before="0" w:after="0" w:line="120" w:lineRule="exact"/>
      </w:pPr>
    </w:p>
    <w:p>
      <w:pPr>
        <w:keepNext w:val="1"/>
        <w:keepLines w:val="1"/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Art. 4 verlangt ausreichende KI-Kompetenz der Mitarbeitenden. Kombinieren Sie Schulung mit einer klaren Nutzungsrichtlinie, damit Shadow-KI nicht zurückkehrt.</w:t>
      </w:r>
    </w:p>
    <w:p>
      <w:pPr>
        <w:keepNext w:val="1"/>
        <w:keepLines w:val="1"/>
        <w:spacing w:before="40" w:after="160" w:line="300" w:lineRule="auto"/>
        <w:ind w:left="260" w:right="260"/>
      </w:pPr>
      <w:r>
        <w:rPr>
          <w:rFonts w:ascii="Inter" w:hAnsi="Inter" w:cs="Inter" w:eastAsia="Inter"/>
          <w:b/>
          <w:i w:val="0"/>
          <w:color w:val="E34663"/>
          <w:sz w:val="16"/>
        </w:rPr>
        <w:t>→ Verwenden Sie die ETHYX KI-Kompetenz-Schulungsvorlage.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6087"/>
        <w:gridCol w:w="1880"/>
        <w:gridCol w:w="1264"/>
        <w:gridCol w:w="634"/>
      </w:tblGrid>
      <w:tr>
        <w:trPr>
          <w:cantSplit w:val="1"/>
          <w:tblHeader w:val="1"/>
        </w:trPr>
        <w:tc>
          <w:tcPr>
            <w:tcW w:type="dxa" w:w="6087"/>
            <w:shd w:val="clear" w:color="auto" w:fill="35394F"/>
            <w:tcMar>
              <w:top w:w="70" w:type="dxa"/>
              <w:left w:w="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Aktion</w:t>
            </w:r>
          </w:p>
        </w:tc>
        <w:tc>
          <w:tcPr>
            <w:tcW w:type="dxa" w:w="1880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Verantwortlich</w:t>
            </w:r>
          </w:p>
        </w:tc>
        <w:tc>
          <w:tcPr>
            <w:tcW w:type="dxa" w:w="1264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Zieldatum</w:t>
            </w:r>
          </w:p>
        </w:tc>
        <w:tc>
          <w:tcPr>
            <w:tcW w:type="dxa" w:w="634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Erl.</w:t>
            </w:r>
          </w:p>
        </w:tc>
      </w:tr>
      <w:tr>
        <w:trPr>
          <w:cantSplit w:val="1"/>
        </w:trPr>
        <w:tc>
          <w:tcPr>
            <w:tcW w:type="dxa" w:w="6087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KI-Kompetenz-Schulung für alle Mitarbeitenden (Stufe 1) und vertiefte Schulung für KI-Nutzer/Verantwortliche (Stufen 2–3) durchführen.</w:t>
            </w:r>
          </w:p>
        </w:tc>
        <w:tc>
          <w:tcPr>
            <w:tcW w:type="dxa" w:w="1880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4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4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87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Teilnahme dokumentieren (Art. 4-Nachweis) – Namen, Daten, Themen.</w:t>
            </w:r>
          </w:p>
        </w:tc>
        <w:tc>
          <w:tcPr>
            <w:tcW w:type="dxa" w:w="1880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4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4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87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Eine KI-Nutzungsrichtlinie veröffentlichen: genehmigte Tools, verbotene Nutzungen, Datenregeln, Genehmigungsprozess.</w:t>
            </w:r>
          </w:p>
        </w:tc>
        <w:tc>
          <w:tcPr>
            <w:tcW w:type="dxa" w:w="1880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4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4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87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Einen Genehmigungsweg für neue KI-Tools einrichten, damit künftige Einführung protokolliert wird, nicht Shadow.</w:t>
            </w:r>
          </w:p>
        </w:tc>
        <w:tc>
          <w:tcPr>
            <w:tcW w:type="dxa" w:w="1880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4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4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87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Klare Verantwortlichkeit zuweisen: wer neue KI-Tools freigibt, wer Hochrisikosysteme überwacht.</w:t>
            </w:r>
          </w:p>
        </w:tc>
        <w:tc>
          <w:tcPr>
            <w:tcW w:type="dxa" w:w="1880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4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4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</w:tbl>
    <w:p>
      <w:pPr>
        <w:spacing w:before="0" w:after="0" w:line="160" w:lineRule="exact"/>
      </w:pPr>
    </w:p>
    <w:p>
      <w:pPr>
        <w:keepNext w:val="1"/>
        <w:keepLines w:val="1"/>
        <w:shd w:val="clear" w:color="auto" w:fill="35394F"/>
        <w:spacing w:before="110" w:after="110" w:line="240" w:lineRule="auto"/>
        <w:ind w:left="0" w:right="0" w:firstLine="260"/>
      </w:pPr>
      <w:r>
        <w:rPr>
          <w:rFonts w:ascii="Funnel Display" w:hAnsi="Funnel Display" w:cs="Funnel Display" w:eastAsia="Funnel Display"/>
          <w:b/>
          <w:i w:val="0"/>
          <w:color w:val="FFFFFF"/>
          <w:sz w:val="23"/>
        </w:rPr>
        <w:t>PHASE 5 – Überwachen &amp; pflegen: Readiness aktuell halten</w:t>
      </w:r>
    </w:p>
    <w:p>
      <w:pPr>
        <w:keepNext w:val="1"/>
        <w:keepLines w:val="1"/>
        <w:spacing w:before="0" w:after="0" w:line="120" w:lineRule="exact"/>
      </w:pPr>
    </w:p>
    <w:p>
      <w:pPr>
        <w:keepNext w:val="1"/>
        <w:keepLines w:val="1"/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Readiness ist keine einmalige Sache. Systeme ändern sich, Anbieter aktualisieren Modelle, und Pflichten greifen über die Zeit. Bauen Sie eine leichte wiederkehrende Überprüfung ein.</w:t>
      </w:r>
    </w:p>
    <w:p>
      <w:pPr>
        <w:keepNext w:val="1"/>
        <w:keepLines w:val="1"/>
        <w:spacing w:before="40" w:after="160" w:line="300" w:lineRule="auto"/>
        <w:ind w:left="260" w:right="260"/>
      </w:pPr>
      <w:r>
        <w:rPr>
          <w:rFonts w:ascii="Inter" w:hAnsi="Inter" w:cs="Inter" w:eastAsia="Inter"/>
          <w:b/>
          <w:i w:val="0"/>
          <w:color w:val="E34663"/>
          <w:sz w:val="16"/>
        </w:rPr>
        <w:t>→ Verwenden Sie das Post-Market-Monitoring-Protokoll des Betreiber-Dokumentationspakets (Formular 4).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6075"/>
        <w:gridCol w:w="1884"/>
        <w:gridCol w:w="1268"/>
        <w:gridCol w:w="638"/>
      </w:tblGrid>
      <w:tr>
        <w:trPr>
          <w:cantSplit w:val="1"/>
          <w:tblHeader w:val="1"/>
        </w:trPr>
        <w:tc>
          <w:tcPr>
            <w:tcW w:type="dxa" w:w="6075"/>
            <w:shd w:val="clear" w:color="auto" w:fill="35394F"/>
            <w:tcMar>
              <w:top w:w="70" w:type="dxa"/>
              <w:left w:w="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Aktion</w:t>
            </w:r>
          </w:p>
        </w:tc>
        <w:tc>
          <w:tcPr>
            <w:tcW w:type="dxa" w:w="1884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Verantwortlich</w:t>
            </w:r>
          </w:p>
        </w:tc>
        <w:tc>
          <w:tcPr>
            <w:tcW w:type="dxa" w:w="1268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Zieldatum</w:t>
            </w:r>
          </w:p>
        </w:tc>
        <w:tc>
          <w:tcPr>
            <w:tcW w:type="dxa" w:w="638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Erl.</w:t>
            </w:r>
          </w:p>
        </w:tc>
      </w:tr>
      <w:tr>
        <w:trPr>
          <w:cantSplit w:val="1"/>
        </w:trPr>
        <w:tc>
          <w:tcPr>
            <w:tcW w:type="dxa" w:w="607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Hochrisikosysteme mindestens vierteljährlich überprüfen; Betriebsprotokolle führen, soweit das System sie bereitstellt.</w:t>
            </w:r>
          </w:p>
        </w:tc>
        <w:tc>
          <w:tcPr>
            <w:tcW w:type="dxa" w:w="1884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8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8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7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Das vollständige KI-System-Inventar mindestens jährlich und nach jeder wesentlichen Änderung überprüfen.</w:t>
            </w:r>
          </w:p>
        </w:tc>
        <w:tc>
          <w:tcPr>
            <w:tcW w:type="dxa" w:w="1884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8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8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7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Risikoklassifizierung erneut durchführen, wenn sich der Anwendungsfall eines Systems ändert.</w:t>
            </w:r>
          </w:p>
        </w:tc>
        <w:tc>
          <w:tcPr>
            <w:tcW w:type="dxa" w:w="1884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8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8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7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KI-Kompetenz-Schulung jährlich und beim Onboarding auffrischen.</w:t>
            </w:r>
          </w:p>
        </w:tc>
        <w:tc>
          <w:tcPr>
            <w:tcW w:type="dxa" w:w="1884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8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8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7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Regulatorische Updates verfolgen (neue Geltungsdaten, Leitlinien) und Dokumentation entsprechend anpassen.</w:t>
            </w:r>
          </w:p>
        </w:tc>
        <w:tc>
          <w:tcPr>
            <w:tcW w:type="dxa" w:w="1884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8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8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</w:tbl>
    <w:p>
      <w:pPr>
        <w:spacing w:before="0" w:after="0" w:line="160" w:lineRule="exact"/>
      </w:pPr>
    </w:p>
    <w:p>
      <w:pPr>
        <w:pBdr>
          <w:top w:val="single" w:sz="4" w:space="0" w:color="E5E7EB"/>
        </w:pBdr>
        <w:spacing w:before="200" w:after="200" w:line="20" w:lineRule="exact"/>
      </w:pPr>
    </w:p>
    <w:p>
      <w:pPr>
        <w:keepNext w:val="1"/>
        <w:keepLines w:val="1"/>
        <w:pBdr>
          <w:top w:val="single" w:sz="4" w:space="0" w:color="E5E7EB"/>
        </w:pBdr>
        <w:spacing w:before="200" w:after="0" w:line="20" w:lineRule="exact"/>
      </w:pPr>
    </w:p>
    <w:p>
      <w:pPr>
        <w:keepNext w:val="1"/>
        <w:keepLines w:val="1"/>
        <w:spacing w:before="160" w:after="10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6"/>
        </w:rPr>
        <w:t>Readiness-Zusammenfassung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3551"/>
        <w:gridCol w:w="6313"/>
      </w:tblGrid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Gesamt-Readiness-Status:</w:t>
            </w:r>
          </w:p>
        </w:tc>
        <w:tc>
          <w:tcPr>
            <w:tcW w:type="dxa" w:w="6313"/>
            <w:tcBorders>
              <w:bottom w:val="single" w:sz="2" w:space="0" w:color="E5E7EB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>☐ Nicht begonnen   ☐ In Arbeit   ☐ Weitgehend bereit   ☐ Gepflegt</w:t>
            </w:r>
          </w:p>
        </w:tc>
      </w:tr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Fahrplan-Verantwortlicher / Freigabe:</w:t>
            </w:r>
          </w:p>
        </w:tc>
        <w:tc>
          <w:tcPr>
            <w:tcW w:type="dxa" w:w="6313"/>
            <w:tcBorders>
              <w:bottom w:val="single" w:sz="2" w:space="0" w:color="E5E7EB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>______________</w:t>
            </w: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 xml:space="preserve"> (Name)</w:t>
            </w: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 xml:space="preserve"> ______________</w:t>
            </w: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 xml:space="preserve"> (Datum)</w:t>
            </w:r>
          </w:p>
        </w:tc>
      </w:tr>
    </w:tbl>
    <w:p>
      <w:pPr>
        <w:spacing w:before="0" w:after="0" w:line="160" w:lineRule="exact"/>
      </w:pPr>
    </w:p>
    <w:p>
      <w:pPr>
        <w:pBdr>
          <w:top w:val="single" w:sz="4" w:space="0" w:color="E5E7EB"/>
        </w:pBdr>
        <w:spacing w:before="200" w:after="200" w:line="20" w:lineRule="exact"/>
      </w:pP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 w:val="1"/>
        </w:trPr>
        <w:tc>
          <w:tcPr>
            <w:tcW w:type="dxa" w:w="9865"/>
            <w:tcBorders>
              <w:top w:val="single" w:sz="8" w:space="0" w:color="35394F"/>
            </w:tcBorders>
            <w:shd w:val="clear" w:color="auto" w:fill="F9FAFB"/>
            <w:tcMar>
              <w:top w:w="150" w:type="dxa"/>
              <w:left w:w="0" w:type="dxa"/>
              <w:bottom w:w="150" w:type="dxa"/>
              <w:right w:w="0" w:type="dxa"/>
            </w:tcMar>
          </w:tcPr>
          <w:p>
            <w:pPr>
              <w:spacing w:before="0" w:after="0" w:line="312" w:lineRule="auto"/>
              <w:ind w:left="260" w:right="260"/>
            </w:pPr>
            <w:r>
              <w:rPr>
                <w:rFonts w:ascii="Inter" w:hAnsi="Inter" w:cs="Inter" w:eastAsia="Inter"/>
                <w:b w:val="0"/>
                <w:i w:val="0"/>
                <w:color w:val="6B7280"/>
                <w:sz w:val="16"/>
              </w:rPr>
              <w:t>Dieser Fahrplan dient nur als Orientierung und stellt keine Rechtsberatung dar. Er basiert auf der Verordnung (EU) 2024/1689 (EU-KI-Gesetz). Geprüft von einem zertifizierten Datenschutzbeauftragten (CIPP/E). Bereitgestellt von ETHYX – ethyx.eu. DSGVO-Höchststrafe: 20 Mio. € / 4 % Umsatz. EU-KI-Gesetz-Höchststrafe: 35 Mio. € / 7 % Umsatz. Hinweis zum Zeitplan (Digital Omnibus, beschlossen Juni 2026): Die Pflichten für eigenständige Hochrisiko-Systeme nach Anhang III, einschließlich der hier dokumentierten Betreiberpflichten aus Art. 26/27, gelten ab dem 2. Dezember 2027 (Anhang-I-Systeme: 2. August 2028). Unverändert: Art. 4 AI Literacy (in Kraft seit 2. Februar 2025) und Art. 50 Transparenz (ab 2. August 2026). Diese Dokumentation früh aufzubauen bleibt der empfohlene Weg - die Pflichten sind verschoben, nicht gestrichen. Lassen Sie Ihr Compliance-Programm von einem qualifizierten Datenschutzbeauftragten oder Anwalt prüfen. Version 1.1 · Juli 2026.</w:t>
            </w:r>
          </w:p>
        </w:tc>
      </w:tr>
    </w:tbl>
    <w:sectPr w:rsidR="00FC693F" w:rsidRPr="0006063C" w:rsidSect="00034616">
      <w:footerReference w:type="default" r:id="rId11"/>
      <w:pgSz w:w="11906" w:h="16838"/>
      <w:pgMar w:top="794" w:right="1020" w:bottom="850" w:left="1020" w:header="454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Inter">
    <w:altName w:val="Arial"/>
    <w:embedRegular r:id="rId1" w:fontKey="{CDC29560-663E-4ADB-A0AD-3A012C7B53EE}"/>
    <w:embedBold r:id="rId2" w:fontKey="{BC08688A-E845-40E1-BF9C-681CE8EBBB6D}"/>
  </w:font>
  <w:font w:name="Funnel Display">
    <w:altName w:val="Arial"/>
    <w:embedBold r:id="rId3" w:fontKey="{82F670CB-3C8A-44C5-A1B4-B78E70E50204}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0" w:lineRule="exact"/>
    </w:pPr>
    <w:r/>
  </w:p>
  <w:tbl>
    <w:tblPr>
      <w:tblW w:w="98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firstColumn="1" w:firstRow="1" w:lastColumn="0" w:lastRow="0" w:noHBand="0" w:noVBand="1" w:val="04A0"/>
    </w:tblPr>
    <w:tblGrid>
      <w:gridCol w:w="9371"/>
      <w:gridCol w:w="493"/>
    </w:tblGrid>
    <w:tr>
      <w:tc>
        <w:tcPr>
          <w:tcW w:type="dxa" w:w="9371"/>
          <w:tcBorders>
            <w:top w:val="single" w:sz="4" w:space="0" w:color="E5E7EB"/>
          </w:tcBorders>
          <w:tcMar>
            <w:top w:w="110" w:type="dxa"/>
            <w:left w:w="0" w:type="dxa"/>
            <w:bottom w:w="0" w:type="dxa"/>
            <w:right w:w="0" w:type="dxa"/>
          </w:tcMar>
        </w:tcPr>
        <w:p>
          <w:pPr>
            <w:spacing w:before="0" w:after="0" w:line="240" w:lineRule="auto"/>
          </w:pP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t>EU-KI-Gesetz Readiness-Fahrplan · Geprüft von einem zertifizierten Datenschutzbeauftragten (CIPP/E) · Bereitgestellt von ETHYX (</w:t>
          </w:r>
          <w:hyperlink r:id="rId1">
            <w:r>
              <w:rPr>
                <w:rFonts w:ascii="Inter" w:hAnsi="Inter" w:cs="Inter" w:eastAsia="Inter"/>
                <w:b w:val="0"/>
                <w:i w:val="0"/>
                <w:color w:val="6B7280"/>
                <w:sz w:val="14"/>
              </w:rPr>
              <w:t>ethyx.eu</w:t>
            </w:r>
          </w:hyperlink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t>) · Nur zur Orientierung – keine Rechtsberatung</w:t>
          </w:r>
        </w:p>
      </w:tc>
      <w:tc>
        <w:tcPr>
          <w:tcW w:type="dxa" w:w="493"/>
          <w:tcBorders>
            <w:top w:val="single" w:sz="4" w:space="0" w:color="E5E7EB"/>
          </w:tcBorders>
          <w:tcMar>
            <w:top w:w="110" w:type="dxa"/>
            <w:left w:w="0" w:type="dxa"/>
            <w:bottom w:w="0" w:type="dxa"/>
            <w:right w:w="260" w:type="dxa"/>
          </w:tcMar>
        </w:tcPr>
        <w:p>
          <w:pPr>
            <w:spacing w:before="0" w:after="0" w:line="240" w:lineRule="auto"/>
            <w:jc w:val="right"/>
            <w:rPr>
              <w:rFonts w:ascii="Inter" w:hAnsi="Inter" w:cs="Inter" w:eastAsia="Inter"/>
              <w:b w:val="0"/>
              <w:i w:val="0"/>
              <w:color w:val="6B7280"/>
              <w:sz w:val="14"/>
            </w:rPr>
          </w:pP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fldChar w:fldCharType="begin"/>
          </w: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instrText xml:space="preserve"> PAGE </w:instrText>
          </w: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fldChar w:fldCharType="separate"/>
          </w: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t/>
          </w: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fldChar w:fldCharType="end"/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embedTrueTypeFonts w:val="true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300" w:lineRule="auto"/>
    </w:pPr>
    <w:rPr>
      <w:rFonts w:ascii="Inter" w:hAnsi="Inter" w:cs="Inter" w:eastAsia="Inter"/>
      <w:color w:val="35394F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ethyx.eu/?utm_source=gated-asset&amp;utm_medium=document&amp;utm_campaign=ki-gesetz-readiness-fahrplan-de" TargetMode="External"/><Relationship Id="rId11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fntdata"/><Relationship Id="rId2" Type="http://schemas.openxmlformats.org/officeDocument/2006/relationships/font" Target="fonts/font2.fntdata"/><Relationship Id="rId3" Type="http://schemas.openxmlformats.org/officeDocument/2006/relationships/font" Target="fonts/font3.fntdata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ethyx.eu/?utm_source=gated-asset&amp;utm_medium=document&amp;utm_campaign=ki-gesetz-readiness-fahrplan-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EU-KI-Gesetz Readiness-Fahrplan</dc:title>
  <dc:subject/>
  <dc:creator>ETHYX</dc:creator>
  <cp:keywords/>
  <dc:description>Rechtlich geprüft von einem zertifizierten Datenschutzbeauftragten (CIPP/E) · Bereitgestellt von ETHYX · Version 1.1 · Juli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